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Subtitle"/>
        <w:rPr>
          <w:rFonts w:ascii="Montserrat" w:cs="Montserrat" w:hAnsi="Montserrat" w:eastAsia="Montserrat"/>
          <w:b w:val="1"/>
          <w:bCs w:val="1"/>
          <w:sz w:val="31"/>
          <w:szCs w:val="31"/>
          <w:u w:color="000000"/>
        </w:rPr>
      </w:pPr>
      <w:r>
        <w:rPr>
          <w:rFonts w:ascii="Montserrat" w:cs="Montserrat" w:hAnsi="Montserrat" w:eastAsia="Montserrat"/>
          <w:b w:val="1"/>
          <w:bCs w:val="1"/>
          <w:sz w:val="31"/>
          <w:szCs w:val="31"/>
          <w:u w:color="000000"/>
          <w:rtl w:val="0"/>
          <w:lang w:val="en-US"/>
        </w:rPr>
        <w:t>CPD/activities contributing to specialist GSRD knowledge</w:t>
      </w:r>
    </w:p>
    <w:p>
      <w:pPr>
        <w:pStyle w:val="Body"/>
        <w:bidi w:val="0"/>
        <w:ind w:left="0" w:right="0" w:firstLine="0"/>
        <w:jc w:val="left"/>
        <w:rPr>
          <w:rFonts w:ascii="Calibri" w:cs="Calibri" w:hAnsi="Calibri" w:eastAsia="Calibri"/>
          <w:sz w:val="24"/>
          <w:szCs w:val="24"/>
          <w:u w:color="000000"/>
          <w:rtl w:val="0"/>
        </w:rPr>
      </w:pPr>
      <w:r>
        <w:rPr>
          <w:rFonts w:ascii="Open Sans" w:cs="Open Sans" w:hAnsi="Open Sans" w:eastAsia="Open Sans"/>
          <w:sz w:val="22"/>
          <w:szCs w:val="22"/>
          <w:u w:color="000000"/>
          <w:rtl w:val="0"/>
          <w:lang w:val="en-US"/>
        </w:rPr>
        <w:t>Applicants should demonstrate that they have undertaken the required hours of Continuing Professional Development in a variety of ways, including conferences (attending or giving presentations), e-learning CPD modules, formal education (lectures, seminars, courses), in-service training, organising specialist groups, reading books, journals or articles, TV and radio documentaries, podcasts, workshops, writing articles or papers. The source of knowledge (ie author, speaker, trainer etc) should be noted on the form, as well as your learning from the activity.</w:t>
      </w:r>
    </w:p>
    <w:p>
      <w:pPr>
        <w:pStyle w:val="Body"/>
        <w:bidi w:val="0"/>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0"/>
        <w:gridCol w:w="1701"/>
        <w:gridCol w:w="4252"/>
        <w:gridCol w:w="1083"/>
      </w:tblGrid>
      <w:tr>
        <w:tblPrEx>
          <w:shd w:val="clear" w:color="auto" w:fill="cdd4e9"/>
        </w:tblPrEx>
        <w:trPr>
          <w:trHeight w:val="105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Open Sans" w:cs="Open Sans" w:hAnsi="Open Sans" w:eastAsia="Open Sans"/>
                <w:u w:color="000000"/>
                <w:shd w:val="nil" w:color="auto" w:fill="auto"/>
                <w:rtl w:val="0"/>
                <w:lang w:val="en-US"/>
              </w:rPr>
              <w:t>Description of learning activity/CPD</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Open Sans" w:cs="Open Sans" w:hAnsi="Open Sans" w:eastAsia="Open Sans"/>
                <w:u w:color="000000"/>
                <w:shd w:val="nil" w:color="auto" w:fill="auto"/>
                <w:rtl w:val="0"/>
                <w:lang w:val="en-US"/>
              </w:rPr>
              <w:t>Source of knowledge/ training provider</w:t>
            </w: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Open Sans" w:cs="Open Sans" w:hAnsi="Open Sans" w:eastAsia="Open Sans"/>
                <w:u w:color="000000"/>
                <w:shd w:val="nil" w:color="auto" w:fill="auto"/>
                <w:rtl w:val="0"/>
                <w:lang w:val="en-US"/>
              </w:rPr>
              <w:t>What you gained</w:t>
            </w:r>
          </w:p>
        </w:tc>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Open Sans" w:cs="Open Sans" w:hAnsi="Open Sans" w:eastAsia="Open Sans"/>
                <w:u w:color="000000"/>
                <w:shd w:val="nil" w:color="auto" w:fill="auto"/>
                <w:rtl w:val="0"/>
                <w:lang w:val="en-US"/>
              </w:rPr>
              <w:t>No of hours</w:t>
            </w:r>
          </w:p>
        </w:tc>
      </w:tr>
      <w:tr>
        <w:tblPrEx>
          <w:shd w:val="clear" w:color="auto" w:fill="cdd4e9"/>
        </w:tblPrEx>
        <w:trPr>
          <w:trHeight w:val="97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ind w:left="0" w:right="0" w:firstLine="0"/>
              <w:jc w:val="left"/>
              <w:rPr>
                <w:rtl w:val="0"/>
              </w:rPr>
            </w:pPr>
            <w:r>
              <w:rPr>
                <w:rFonts w:ascii="Annai MN Regular" w:hAnsi="Annai MN Regular"/>
                <w:u w:color="000000"/>
                <w:shd w:val="nil" w:color="auto" w:fill="auto"/>
                <w:rtl w:val="0"/>
                <w:lang w:val="en-US"/>
              </w:rPr>
              <w:t>You Tube video on Asexuality</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ind w:left="0" w:right="0" w:firstLine="0"/>
              <w:jc w:val="left"/>
              <w:rPr>
                <w:rtl w:val="0"/>
              </w:rPr>
            </w:pPr>
            <w:r>
              <w:rPr>
                <w:rFonts w:ascii="Annai MN Regular" w:hAnsi="Annai MN Regular"/>
                <w:u w:color="000000"/>
                <w:shd w:val="nil" w:color="auto" w:fill="auto"/>
                <w:rtl w:val="0"/>
                <w:lang w:val="en-US"/>
              </w:rPr>
              <w:t>Pink Therapy presented by Jo Russell</w:t>
            </w: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ind w:left="0" w:right="0" w:firstLine="0"/>
              <w:jc w:val="left"/>
              <w:rPr>
                <w:rtl w:val="0"/>
              </w:rPr>
            </w:pPr>
            <w:r>
              <w:rPr>
                <w:rFonts w:ascii="Annai MN Regular" w:hAnsi="Annai MN Regular"/>
                <w:u w:color="000000"/>
                <w:shd w:val="nil" w:color="auto" w:fill="auto"/>
                <w:rtl w:val="0"/>
                <w:lang w:val="en-US"/>
              </w:rPr>
              <w:t xml:space="preserve">Ace spectrum identities, split attraction model and other key concepts. </w:t>
            </w:r>
          </w:p>
        </w:tc>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bidi w:val="0"/>
              <w:ind w:left="0" w:right="0" w:firstLine="0"/>
              <w:jc w:val="left"/>
              <w:rPr>
                <w:rtl w:val="0"/>
              </w:rPr>
            </w:pPr>
            <w:r>
              <w:rPr>
                <w:rFonts w:ascii="Annai MN Regular" w:hAnsi="Annai MN Regular"/>
                <w:u w:color="000000"/>
                <w:shd w:val="nil" w:color="auto" w:fill="auto"/>
                <w:rtl w:val="0"/>
                <w:lang w:val="en-US"/>
              </w:rPr>
              <w:t>1 hour</w:t>
            </w:r>
          </w:p>
        </w:tc>
      </w:tr>
      <w:tr>
        <w:tblPrEx>
          <w:shd w:val="clear" w:color="auto" w:fill="cdd4e9"/>
        </w:tblPrEx>
        <w:trPr>
          <w:trHeight w:val="257"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257"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257"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257"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257"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tc>
      </w:tr>
      <w:tr>
        <w:tblPrEx>
          <w:shd w:val="clear" w:color="auto" w:fill="cdd4e9"/>
        </w:tblPrEx>
        <w:trPr>
          <w:trHeight w:val="257"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2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00" w:after="100" w:line="240" w:lineRule="auto"/>
              <w:ind w:left="0" w:right="0" w:firstLine="0"/>
              <w:jc w:val="right"/>
              <w:outlineLvl w:val="9"/>
              <w:rPr>
                <w:rtl w:val="0"/>
              </w:rPr>
            </w:pPr>
            <w:r>
              <w:rPr>
                <w:rFonts w:ascii="Montserrat" w:cs="Montserrat" w:hAnsi="Montserrat" w:eastAsia="Montserrat"/>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rtl w:val="0"/>
                <w:lang w:val="en-US"/>
                <w14:textOutline>
                  <w14:noFill/>
                </w14:textOutline>
                <w14:textFill>
                  <w14:solidFill>
                    <w14:srgbClr w14:val="000000"/>
                  </w14:solidFill>
                </w14:textFill>
              </w:rPr>
              <w:t>Total =  hours</w:t>
            </w:r>
          </w:p>
        </w:tc>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bidi w:val="0"/>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w:charset w:val="00"/>
    <w:family w:val="roman"/>
    <w:pitch w:val="default"/>
  </w:font>
  <w:font w:name="Calibri">
    <w:charset w:val="00"/>
    <w:family w:val="roman"/>
    <w:pitch w:val="default"/>
  </w:font>
  <w:font w:name="Open Sans">
    <w:charset w:val="00"/>
    <w:family w:val="roman"/>
    <w:pitch w:val="default"/>
  </w:font>
  <w:font w:name="Annai MN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drawing xmlns:a="http://schemas.openxmlformats.org/drawingml/2006/main">
        <wp:inline distT="0" distB="0" distL="0" distR="0">
          <wp:extent cx="1636556" cy="632802"/>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1636556" cy="6328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